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spacing w:before="120" w:after="0"/>
        <w:rPr>
          <w:spacing w:val="5"/>
        </w:rPr>
      </w:pPr>
      <w:r>
        <w:rPr>
          <w:spacing w:val="5"/>
        </w:rPr>
        <w:t>PREISERMITTLUNGSBLATT 2:</w:t>
      </w:r>
    </w:p>
    <w:p>
      <w:pPr>
        <w:pStyle w:val="Title"/>
        <w:spacing w:before="0" w:after="40"/>
        <w:rPr>
          <w:spacing w:val="5"/>
        </w:rPr>
      </w:pPr>
      <w:r>
        <w:rPr>
          <w:spacing w:val="5"/>
        </w:rPr>
        <w:t>AUFGLIEDERUNG WICHTIGER EINHEITSPREISE</w:t>
      </w:r>
    </w:p>
    <w:p>
      <w:pPr>
        <w:pStyle w:val="Title"/>
        <w:spacing w:before="0" w:after="200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[Anlage zum Angebot]</w:t>
      </w:r>
    </w:p>
    <w:tbl>
      <w:tblPr>
        <w:tblW w:w="9639" w:type="dxa"/>
        <w:jc w:val="left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noHBand="0" w:noVBand="0" w:firstColumn="0" w:lastRow="0" w:lastColumn="0" w:firstRow="0"/>
      </w:tblPr>
      <w:tblGrid>
        <w:gridCol w:w="6515"/>
        <w:gridCol w:w="1990"/>
        <w:gridCol w:w="1134"/>
      </w:tblGrid>
      <w:tr>
        <w:trPr>
          <w:trHeight w:val="567" w:hRule="atLeast"/>
          <w:cantSplit w:val="true"/>
        </w:trPr>
        <w:tc>
          <w:tcPr>
            <w:tcW w:w="6515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Bieter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990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Vergabenummer</w:t>
            </w:r>
          </w:p>
          <w:p>
            <w:pPr>
              <w:pStyle w:val="Normal"/>
              <w:tabs>
                <w:tab w:val="clear" w:pos="709"/>
                <w:tab w:val="left" w:pos="9923" w:leader="none"/>
                <w:tab w:val="left" w:pos="11482" w:leader="none"/>
                <w:tab w:val="left" w:pos="12758" w:leader="none"/>
              </w:tabs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VergabeNr"/>
                  <w:enabled/>
                  <w:calcOnExit w:val="0"/>
                  <w:helpText w:type="text" w:val="Hier kann die Vergabe-Nummer eingegeben werde ( z.B. BA/123/2000)"/>
                  <w:statusText w:type="text" w:val="Hier kann die Vergabe-Nummer eingegeben werde ( z.B. BA/123/2000)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18"/>
                <w:szCs w:val="18"/>
              </w:rPr>
              <w:t>LED_3021_OV_2026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4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Datum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51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Baumaßnahme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Ledigenhaus Rehhoffstraße – Sicherung, Sanierung, Rekonstruktion </w:t>
            </w:r>
            <w:r/>
            <w:r>
              <w:rPr/>
              <w:fldChar w:fldCharType="end"/>
            </w:r>
            <w:r>
              <w:rPr/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Bau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cs="Arial" w:ascii="Arial" w:hAnsi="Arial"/>
                <w:sz w:val="20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567" w:hRule="atLeast"/>
          <w:cantSplit w:val="true"/>
        </w:trPr>
        <w:tc>
          <w:tcPr>
            <w:tcW w:w="9639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rPr>
                <w:rFonts w:cs="Arial" w:ascii="Arial" w:hAnsi="Arial"/>
                <w:sz w:val="20"/>
              </w:rPr>
              <w:t>Angebot für</w:t>
            </w:r>
          </w:p>
          <w:p>
            <w:pPr>
              <w:pStyle w:val="Normal"/>
              <w:spacing w:before="40" w:after="0"/>
              <w:rPr>
                <w:rFonts w:ascii="Arial" w:hAnsi="Arial" w:cs="Arial"/>
                <w:sz w:val="20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Arial" w:ascii="Arial" w:hAnsi="Arial"/>
                <w:color w:val="auto"/>
                <w:kern w:val="0"/>
                <w:sz w:val="20"/>
                <w:szCs w:val="20"/>
                <w:lang w:val="de-DE" w:eastAsia="de-DE" w:bidi="ar-SA"/>
              </w:rPr>
              <w:t>Tischler</w:t>
            </w:r>
            <w:r>
              <w:rPr>
                <w:rFonts w:cs="Arial" w:ascii="Arial" w:hAnsi="Arial"/>
                <w:sz w:val="20"/>
              </w:rPr>
              <w:t>arbeiten, Fenster 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Title"/>
        <w:snapToGrid w:val="false"/>
        <w:spacing w:before="12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2 ist</w:t>
      </w:r>
      <w:r>
        <w:rPr>
          <w:b w:val="false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>
      <w:pPr>
        <w:pStyle w:val="Normal"/>
        <w:spacing w:before="120" w:after="0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Diese Aufgliederung dient der Vergabestelle dazu, im Rahmen der Angebotswertung die für die Angebotssumme maßgeblichen Kalkulationsbestandteile beurteilen zu können. </w:t>
      </w:r>
    </w:p>
    <w:p>
      <w:pPr>
        <w:pStyle w:val="Normal"/>
        <w:rPr>
          <w:rFonts w:ascii="Arial" w:hAnsi="Arial"/>
          <w:sz w:val="20"/>
        </w:rPr>
      </w:pPr>
      <w:r>
        <w:rPr>
          <w:rFonts w:ascii="Arial" w:hAnsi="Arial"/>
          <w:sz w:val="20"/>
        </w:rPr>
        <w:t xml:space="preserve">Wichtige, den Preis bestimmende Teilleistungen werden von der Vergabestelle vorgegeben (Spalten 1 – 3).  </w:t>
      </w:r>
    </w:p>
    <w:p>
      <w:pPr>
        <w:pStyle w:val="Title"/>
        <w:spacing w:before="0" w:after="0"/>
        <w:jc w:val="both"/>
        <w:rPr>
          <w:b w:val="false"/>
          <w:spacing w:val="5"/>
          <w:sz w:val="20"/>
          <w:szCs w:val="20"/>
        </w:rPr>
      </w:pPr>
      <w:r>
        <w:rPr>
          <w:b w:val="false"/>
          <w:sz w:val="20"/>
        </w:rPr>
        <w:t>Der Bieter gibt seine Preise für die Teilleistungen an (Spalten 4 – 9).</w:t>
      </w:r>
    </w:p>
    <w:p>
      <w:pPr>
        <w:pStyle w:val="Title"/>
        <w:spacing w:before="0"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 xml:space="preserve">Für eventuelle Erläuterungen hat der Bieter gegebenenfalls ein Beiblatt beizufügen. </w:t>
      </w:r>
    </w:p>
    <w:p>
      <w:pPr>
        <w:pStyle w:val="Title"/>
        <w:spacing w:before="120" w:after="120"/>
        <w:jc w:val="both"/>
        <w:rPr>
          <w:spacing w:val="5"/>
          <w:sz w:val="20"/>
          <w:szCs w:val="20"/>
          <w:u w:val="single"/>
        </w:rPr>
      </w:pPr>
      <w:r>
        <w:rPr>
          <w:b w:val="false"/>
          <w:spacing w:val="5"/>
          <w:sz w:val="20"/>
          <w:szCs w:val="20"/>
        </w:rPr>
        <w:t xml:space="preserve">Das </w:t>
      </w:r>
      <w:r>
        <w:rPr>
          <w:b w:val="false"/>
          <w:sz w:val="20"/>
          <w:szCs w:val="20"/>
        </w:rPr>
        <w:t>Preisermittlungsblatt 2 wird vertraulich behandelt und nur den unmittelbar mit der Bearbeitung befassten Personen zugänglich gemacht.</w:t>
      </w:r>
    </w:p>
    <w:tbl>
      <w:tblPr>
        <w:tblW w:w="9639" w:type="dxa"/>
        <w:jc w:val="left"/>
        <w:tblInd w:w="7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a0" w:noHBand="0" w:noVBand="0" w:firstColumn="1" w:lastRow="0" w:lastColumn="0" w:firstRow="1"/>
      </w:tblPr>
      <w:tblGrid>
        <w:gridCol w:w="709"/>
        <w:gridCol w:w="2228"/>
        <w:gridCol w:w="890"/>
        <w:gridCol w:w="849"/>
        <w:gridCol w:w="851"/>
        <w:gridCol w:w="993"/>
        <w:gridCol w:w="992"/>
        <w:gridCol w:w="994"/>
        <w:gridCol w:w="1132"/>
      </w:tblGrid>
      <w:tr>
        <w:trPr>
          <w:tblHeader w:val="true"/>
          <w:trHeight w:val="913" w:hRule="atLeas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OZ des LV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2"/>
              <w:t>1)</w:t>
            </w:r>
            <w:r>
              <w:rPr>
                <w:rFonts w:ascii="Arial" w:hAnsi="Arial"/>
                <w:sz w:val="16"/>
              </w:rPr>
              <w:t>1)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Kurzbezeichnung der Teilleistung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Men</w:t>
              <w:softHyphen/>
              <w:t>gen-ein</w:t>
              <w:softHyphen/>
              <w:t>heit</w:t>
            </w:r>
            <w:r>
              <w:rPr>
                <w:rFonts w:ascii="Arial" w:hAnsi="Arial"/>
                <w:sz w:val="16"/>
                <w:vertAlign w:val="superscript"/>
              </w:rPr>
              <w:t>1)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Zeit</w:t>
              <w:softHyphen/>
              <w:t>-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ansatz Std.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3"/>
              <w:t>2)</w:t>
            </w:r>
            <w:r>
              <w:rPr>
                <w:rFonts w:ascii="Arial" w:hAnsi="Arial"/>
                <w:sz w:val="16"/>
              </w:rPr>
              <w:t>2)</w:t>
            </w:r>
          </w:p>
        </w:tc>
        <w:tc>
          <w:tcPr>
            <w:tcW w:w="49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Teilkosten einschl. Zuschläge in EUR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(ohne Umsatzsteuer) je Mengeneinheit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Löhne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Stoffe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Geräte</w:t>
            </w:r>
            <w:r>
              <w:rPr>
                <w:rStyle w:val="FootnoteReference"/>
                <w:rFonts w:ascii="Arial" w:hAnsi="Arial"/>
                <w:sz w:val="16"/>
              </w:rPr>
              <w:footnoteReference w:customMarkFollows="1" w:id="4"/>
              <w:t>3)</w:t>
            </w:r>
            <w:r>
              <w:rPr>
                <w:rFonts w:ascii="Arial" w:hAnsi="Arial"/>
                <w:sz w:val="16"/>
              </w:rPr>
              <w:t>3)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Nachunter-nehmer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Angebotener Einheitspreis</w:t>
            </w:r>
          </w:p>
          <w:p>
            <w:pPr>
              <w:pStyle w:val="Normal"/>
              <w:tabs>
                <w:tab w:val="clear" w:pos="709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 xml:space="preserve"> </w:t>
            </w:r>
            <w:r>
              <w:rPr>
                <w:rFonts w:ascii="Arial" w:hAnsi="Arial"/>
                <w:sz w:val="14"/>
              </w:rPr>
              <w:t>(Sp. 5+6+7+8)</w:t>
            </w:r>
          </w:p>
        </w:tc>
      </w:tr>
      <w:tr>
        <w:trPr/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7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9</w:t>
            </w:r>
          </w:p>
        </w:tc>
      </w:tr>
      <w:tr>
        <w:trPr>
          <w:trHeight w:val="71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02.010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Times New Roman" w:ascii="Arial" w:hAnsi="Arial"/>
                <w:color w:val="auto"/>
                <w:kern w:val="0"/>
                <w:sz w:val="16"/>
                <w:szCs w:val="16"/>
                <w:lang w:val="de-DE" w:eastAsia="de-DE" w:bidi="ar-SA"/>
              </w:rPr>
              <w:t>Abbruch Fenster, 1-flügelig mit Oberlicht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04.010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Times New Roman" w:ascii="Arial" w:hAnsi="Arial"/>
                <w:color w:val="auto"/>
                <w:kern w:val="0"/>
                <w:sz w:val="14"/>
                <w:szCs w:val="14"/>
                <w:lang w:val="de-DE" w:eastAsia="de-DE" w:bidi="ar-SA"/>
              </w:rPr>
              <w:t>Fenster neu, 2-flügelig, Sonnen-schutzverglasung, Fenster S1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04.030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2"/>
                <w:szCs w:val="12"/>
              </w:rPr>
              <w:t>Fenster neu, 4-flügelig mit Oberlicht, Sonnenschutzverglasung, Fenster S2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8" w:hRule="exact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04.040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1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0"/>
                <w:szCs w:val="10"/>
              </w:rPr>
              <w:t>Zuschlag zu vorgenannter Position, Fenster S2, Beschichtung mit Standölfarbe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2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3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4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Bookmark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5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6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97 Kopie 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04.150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Times New Roman" w:ascii="Arial" w:hAnsi="Arial"/>
                <w:color w:val="auto"/>
                <w:kern w:val="0"/>
                <w:sz w:val="16"/>
                <w:szCs w:val="20"/>
                <w:lang w:val="de-DE" w:eastAsia="de-DE" w:bidi="ar-SA"/>
              </w:rPr>
              <w:t>Fenster neu, 4-flügelig mit Oberlicht, Fenster S8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 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0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8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05.050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1"/>
                <w:szCs w:val="11"/>
              </w:rPr>
              <w:t>Fenster-Tür-Element neu, mit Halbrund-oberlicht und Seitenfeld, Fenster S16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 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800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04.270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4"/>
                <w:szCs w:val="14"/>
              </w:rPr>
              <w:t>Fenster neu, 3-flügelig mit Halbrundoberlicht, Fenster S17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Times New Roman" w:ascii="Arial" w:hAnsi="Arial"/>
                <w:color w:val="auto"/>
                <w:kern w:val="0"/>
                <w:sz w:val="16"/>
                <w:szCs w:val="20"/>
                <w:lang w:val="de-DE" w:eastAsia="de-DE" w:bidi="ar-SA"/>
              </w:rPr>
              <w:t>St</w:t>
            </w:r>
            <w:r>
              <w:rPr>
                <w:rFonts w:ascii="Arial" w:hAnsi="Arial"/>
                <w:sz w:val="16"/>
              </w:rPr>
              <w:t xml:space="preserve">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06.030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eastAsia="Times New Roman" w:cs="Times New Roman" w:ascii="Arial" w:hAnsi="Arial"/>
                <w:color w:val="auto"/>
                <w:kern w:val="0"/>
                <w:sz w:val="16"/>
                <w:szCs w:val="16"/>
                <w:lang w:val="de-DE" w:eastAsia="de-DE" w:bidi="ar-SA"/>
              </w:rPr>
              <w:t>Fenster neu, 4-flügelig mit Oberlicht, Fenster H4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18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21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06.230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0"/>
                <w:szCs w:val="10"/>
              </w:rPr>
              <w:t xml:space="preserve">Brandschutz-Holzfenster, neu, festverglast, </w:t>
              <w:br/>
              <w:t>mit Oberlicht, mit Sprossen, Fenster H16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0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7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07.030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2"/>
                <w:szCs w:val="12"/>
              </w:rPr>
              <w:t>Tür-Element neu, 1-flügelig mit Oberlicht und Seitenfeldern, Tür H3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1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09.020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8"/>
                <w:szCs w:val="8"/>
              </w:rPr>
              <w:t>Innenfensterbank, Kiefernholz, d=30mm, inkl. unterseitiger Zierleiste, L bis ca. 1500 mm, T bis ca. 200 mm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St   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2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738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         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 xml:space="preserve">   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3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7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48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  <w:tr>
        <w:trPr>
          <w:trHeight w:val="687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</w:tr>
      <w:tr>
        <w:trPr>
          <w:trHeight w:val="725" w:hRule="exact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</w:r>
          </w:p>
        </w:tc>
        <w:tc>
          <w:tcPr>
            <w:tcW w:w="2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1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2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3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4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6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tabs>
                <w:tab w:val="clear" w:pos="709"/>
                <w:tab w:val="left" w:pos="7230" w:leader="none"/>
                <w:tab w:val="right" w:pos="9923" w:leader="none"/>
              </w:tabs>
              <w:spacing w:before="40" w:after="0"/>
              <w:rPr>
                <w:rFonts w:ascii="Arial" w:hAnsi="Arial"/>
                <w:sz w:val="16"/>
              </w:rPr>
            </w:pPr>
            <w:r>
              <w:fldChar w:fldCharType="begin">
                <w:ffData>
                  <w:name w:val="Text257"/>
                  <w:enabled/>
                  <w:calcOnExit w:val="0"/>
                  <w:textInput/>
                </w:ffData>
              </w:fldChar>
            </w:r>
            <w:r>
              <w:rPr/>
              <w:instrText xml:space="preserve"> FORMTEXT </w:instrText>
            </w:r>
            <w:r>
              <w:rPr/>
            </w:r>
            <w:r>
              <w:rPr/>
              <w:fldChar w:fldCharType="separate"/>
            </w:r>
            <w:r>
              <w:rPr/>
            </w:r>
            <w:r>
              <w:rPr>
                <w:rFonts w:ascii="Arial" w:hAnsi="Arial"/>
                <w:sz w:val="16"/>
              </w:rPr>
              <w:t>     </w:t>
            </w:r>
            <w:r/>
            <w:r>
              <w:rPr/>
              <w:fldChar w:fldCharType="end"/>
            </w:r>
            <w:r>
              <w:rPr/>
            </w:r>
          </w:p>
        </w:tc>
      </w:tr>
    </w:tbl>
    <w:p>
      <w:pPr>
        <w:pStyle w:val="Normal"/>
        <w:ind w:hanging="284" w:left="284"/>
        <w:rPr>
          <w:rFonts w:ascii="Arial" w:hAnsi="Arial"/>
          <w:sz w:val="16"/>
          <w:vertAlign w:val="superscript"/>
        </w:rPr>
      </w:pPr>
      <w:r>
        <w:rPr>
          <w:rFonts w:ascii="Arial" w:hAnsi="Arial"/>
          <w:sz w:val="16"/>
          <w:vertAlign w:val="superscript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footnotePr>
        <w:numFmt w:val="decimal"/>
      </w:footnotePr>
      <w:type w:val="continuous"/>
      <w:pgSz w:w="11906" w:h="16838"/>
      <w:pgMar w:left="1134" w:right="1134" w:gutter="0" w:header="454" w:top="993" w:footer="454" w:bottom="1135"/>
      <w:formProt w:val="true"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9072"/>
        <w:tab w:val="center" w:pos="4536" w:leader="none"/>
        <w:tab w:val="right" w:pos="8930" w:leader="none"/>
      </w:tabs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>
        <w:top w:val="single" w:sz="4" w:space="1" w:color="000000"/>
      </w:pBdr>
      <w:tabs>
        <w:tab w:val="clear" w:pos="9072"/>
        <w:tab w:val="center" w:pos="4536" w:leader="none"/>
        <w:tab w:val="right" w:pos="8930" w:leader="none"/>
      </w:tabs>
      <w:rPr>
        <w:rFonts w:cs="Arial"/>
      </w:rPr>
    </w:pPr>
    <w:r>
      <w:rPr>
        <w:rFonts w:cs="Arial"/>
      </w:rPr>
    </w:r>
  </w:p>
  <w:p>
    <w:pPr>
      <w:pStyle w:val="Footer"/>
      <w:tabs>
        <w:tab w:val="clear" w:pos="4536"/>
        <w:tab w:val="clear" w:pos="9072"/>
        <w:tab w:val="left" w:pos="8930" w:leader="none"/>
      </w:tabs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 – 04/2023</w:t>
      <w:tab/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PAGE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  <w:r>
      <w:rPr>
        <w:rFonts w:cs="Arial" w:ascii="Arial" w:hAnsi="Arial"/>
        <w:sz w:val="20"/>
      </w:rPr>
      <w:t xml:space="preserve"> von </w:t>
    </w:r>
    <w:r>
      <w:rPr>
        <w:rFonts w:cs="Arial" w:ascii="Arial" w:hAnsi="Arial"/>
        <w:sz w:val="20"/>
      </w:rPr>
      <w:fldChar w:fldCharType="begin"/>
    </w:r>
    <w:r>
      <w:rPr>
        <w:sz w:val="20"/>
        <w:rFonts w:cs="Arial" w:ascii="Arial" w:hAnsi="Arial"/>
      </w:rPr>
      <w:instrText xml:space="preserve"> NUMPAGES </w:instrText>
    </w:r>
    <w:r>
      <w:rPr>
        <w:sz w:val="20"/>
        <w:rFonts w:cs="Arial" w:ascii="Arial" w:hAnsi="Arial"/>
      </w:rPr>
      <w:fldChar w:fldCharType="separate"/>
    </w:r>
    <w:r>
      <w:rPr>
        <w:sz w:val="20"/>
        <w:rFonts w:cs="Arial" w:ascii="Arial" w:hAnsi="Arial"/>
      </w:rPr>
      <w:t>2</w:t>
    </w:r>
    <w:r>
      <w:rPr>
        <w:sz w:val="20"/>
        <w:rFonts w:cs="Arial" w:ascii="Arial" w:hAnsi="Arial"/>
      </w:rPr>
      <w:fldChar w:fldCharType="end"/>
    </w:r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ind w:hanging="284" w:left="284"/>
        <w:rPr>
          <w:rFonts w:ascii="Arial" w:hAnsi="Arial"/>
          <w:sz w:val="16"/>
          <w:szCs w:val="16"/>
        </w:rPr>
      </w:pPr>
      <w:r>
        <w:rPr>
          <w:rStyle w:val="Funotenzeichen"/>
        </w:rPr>
        <w:t>1)</w:t>
      </w:r>
      <w:r>
        <w:rPr>
          <w:rStyle w:val="Funotenzeichen"/>
        </w:rPr>
        <w:tab/>
        <w:t>1)</w:t>
      </w:r>
      <w:r>
        <w:rPr>
          <w:rFonts w:ascii="Arial" w:hAnsi="Arial"/>
          <w:sz w:val="16"/>
          <w:szCs w:val="16"/>
        </w:rPr>
        <w:t xml:space="preserve"> Wird von der Auftraggeberin vorgegeben.</w:t>
      </w:r>
    </w:p>
    <w:p>
      <w:pPr>
        <w:pStyle w:val="FootnoteText"/>
        <w:rPr/>
      </w:pPr>
      <w:r>
        <w:rPr/>
      </w:r>
    </w:p>
  </w:footnote>
  <w:footnote w:id="3">
    <w:p>
      <w:pPr>
        <w:pStyle w:val="FootnoteText"/>
        <w:ind w:hanging="284" w:left="284"/>
        <w:rPr>
          <w:rFonts w:ascii="Arial" w:hAnsi="Arial"/>
          <w:color w:themeColor="accent1" w:themeShade="bf" w:val="365F91"/>
          <w:sz w:val="16"/>
          <w:szCs w:val="16"/>
        </w:rPr>
      </w:pPr>
      <w:r>
        <w:rPr>
          <w:rStyle w:val="Funotenzeichen"/>
        </w:rPr>
        <w:t>2)</w:t>
      </w:r>
      <w:r>
        <w:rPr>
          <w:rStyle w:val="Funotenzeichen"/>
        </w:rPr>
        <w:tab/>
        <w:t>2)</w:t>
      </w:r>
      <w:r>
        <w:rPr>
          <w:rFonts w:ascii="Arial" w:hAnsi="Arial"/>
          <w:sz w:val="16"/>
          <w:szCs w:val="16"/>
        </w:rPr>
        <w:t xml:space="preserve"> Nur für Teilleistungen, die der Auftragnehmer selbst erbringt.</w:t>
      </w:r>
    </w:p>
    <w:p>
      <w:pPr>
        <w:pStyle w:val="FootnoteText"/>
        <w:rPr/>
      </w:pPr>
      <w:r>
        <w:rPr/>
      </w:r>
    </w:p>
  </w:footnote>
  <w:footnote w:id="4">
    <w:p>
      <w:pPr>
        <w:pStyle w:val="FootnoteText"/>
        <w:ind w:hanging="284" w:left="284"/>
        <w:rPr>
          <w:rFonts w:ascii="Arial" w:hAnsi="Arial"/>
          <w:sz w:val="16"/>
          <w:szCs w:val="16"/>
        </w:rPr>
      </w:pPr>
      <w:r>
        <w:rPr>
          <w:rStyle w:val="Funotenzeichen"/>
        </w:rPr>
        <w:t>3)</w:t>
      </w:r>
      <w:r>
        <w:rPr>
          <w:rStyle w:val="Funotenzeichen"/>
        </w:rPr>
        <w:tab/>
        <w:t>3)</w:t>
      </w:r>
      <w:r>
        <w:rPr>
          <w:rFonts w:ascii="Arial" w:hAnsi="Arial"/>
          <w:sz w:val="16"/>
          <w:szCs w:val="16"/>
        </w:rPr>
        <w:t xml:space="preserve"> Für Gerätekosten einschließlich der Betriebsstoffkosten, soweit diese den Einzelkosten der angegebenen Ordnungszahl zugerechnet worden sind.</w:t>
      </w:r>
    </w:p>
    <w:p>
      <w:pPr>
        <w:pStyle w:val="FootnoteText"/>
        <w:rPr/>
      </w:pPr>
      <w:r>
        <w:rPr/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6-131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>
      <w:rPr>
        <w:rFonts w:cs="Arial" w:ascii="Arial" w:hAnsi="Arial"/>
        <w:b/>
        <w:sz w:val="20"/>
      </w:rPr>
      <w:t>VV-Bau Anlage 6-131</w:t>
    </w:r>
  </w:p>
  <w:p>
    <w:pPr>
      <w:pStyle w:val="Header"/>
      <w:tabs>
        <w:tab w:val="clear" w:pos="4536"/>
        <w:tab w:val="clear" w:pos="9072"/>
      </w:tabs>
      <w:snapToGrid w:val="false"/>
      <w:jc w:val="right"/>
      <w:rPr>
        <w:rFonts w:ascii="Arial" w:hAnsi="Arial" w:cs="Arial"/>
        <w:sz w:val="20"/>
      </w:rPr>
    </w:pPr>
    <w:r>
      <w:rPr>
        <w:rFonts w:cs="Arial" w:ascii="Arial" w:hAnsi="Arial"/>
        <w:sz w:val="20"/>
      </w:rPr>
      <w:t>Preisermittlungsblatt 2 (Papierversion)</w:t>
    </w:r>
  </w:p>
  <w:p>
    <w:pPr>
      <w:pStyle w:val="Header"/>
      <w:pBdr>
        <w:bottom w:val="single" w:sz="4" w:space="1" w:color="000000"/>
      </w:pBdr>
      <w:ind w:hanging="0" w:right="-1"/>
      <w:rPr>
        <w:b/>
      </w:rPr>
    </w:pPr>
    <w:r>
      <w:rPr>
        <w:b/>
      </w:rPr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decimal"/>
      <w:lvlText w:val="%1."/>
      <w:lvlJc w:val="left"/>
      <w:pPr>
        <w:tabs>
          <w:tab w:val="num" w:pos="284"/>
        </w:tabs>
        <w:ind w:left="284" w:hanging="284"/>
      </w:pPr>
      <w:rPr>
        <w:smallCaps w:val="false"/>
        <w:caps w:val="false"/>
        <w:dstrike w:val="false"/>
        <w:strike w:val="false"/>
        <w:vertAlign w:val="baseline"/>
        <w:position w:val="0"/>
        <w:sz w:val="20"/>
        <w:sz w:val="20"/>
        <w:spacing w:val="0"/>
        <w:i w:val="false"/>
        <w:u w:val="none"/>
        <w:b/>
        <w:kern w:val="0"/>
        <w:szCs w:val="20"/>
        <w:iCs w:val="false"/>
        <w:bCs w:val="false"/>
        <w:em w:val="none"/>
        <w:vanish w:val="false"/>
        <w:rFonts w:cs="Times New Roman"/>
        <w:color w:val="auto"/>
      </w:rPr>
    </w:lvl>
    <w:lvl w:ilvl="1">
      <w:start w:val="1"/>
      <w:pStyle w:val="Heading2"/>
      <w:numFmt w:val="decimal"/>
      <w:lvlText w:val="%1.%2"/>
      <w:lvlJc w:val="left"/>
      <w:pPr>
        <w:tabs>
          <w:tab w:val="num" w:pos="567"/>
        </w:tabs>
        <w:ind w:left="567" w:hanging="567"/>
      </w:pPr>
      <w:rPr>
        <w:smallCaps w:val="false"/>
        <w:caps w:val="false"/>
        <w:dstrike w:val="false"/>
        <w:strike w:val="false"/>
        <w:vertAlign w:val="baseline"/>
        <w:position w:val="0"/>
        <w:sz w:val="24"/>
        <w:sz w:val="24"/>
        <w:spacing w:val="0"/>
        <w:i w:val="false"/>
        <w:u w:val="none"/>
        <w:b w:val="false"/>
        <w:kern w:val="0"/>
        <w:effect w:val="none"/>
        <w:iCs w:val="false"/>
        <w:bCs w:val="false"/>
        <w:em w:val="none"/>
        <w:vanish w:val="false"/>
        <w:rFonts w:cs="Times New Roman"/>
        <w:color w:val="000000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200"/>
  <w:defaultTabStop w:val="709"/>
  <w:autoHyphenation w:val="true"/>
  <w:hyphenationZone w:val="425"/>
  <w:footnotePr>
    <w:numFmt w:val="decimal"/>
    <w:footnote w:id="0"/>
    <w:footnote w:id="1"/>
  </w:footnotePr>
  <w:compat>
    <w:doNotExpandShiftReturn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umentProtection w:edit="forms" w:enforcement="1" w:cryptProviderType="rsaAES" w:cryptAlgorithmClass="hash" w:cryptAlgorithmType="typeAny" w:cryptAlgorithmSid="14" w:cryptSpinCount="100000" w:hash="ySUZTGQK814tUVRghq68P9msMbJ3g+BDC0d28aTwFhBNc9o0W2b+lsVOHgrVBMAiT+ZiBFNKw9ebfrEZbUboQg==" w:salt="4PUiWZW6/5yzvy+mJSqEtA=="/>
  <w:themeFontLang w:val="de-DE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zh-CN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overflowPunct w:val="fals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4"/>
      <w:szCs w:val="20"/>
      <w:lang w:val="de-DE" w:eastAsia="de-DE" w:bidi="ar-SA"/>
    </w:rPr>
  </w:style>
  <w:style w:type="paragraph" w:styleId="Heading1">
    <w:name w:val="Heading 1"/>
    <w:basedOn w:val="Normal"/>
    <w:next w:val="Normal"/>
    <w:qFormat/>
    <w:rsid w:val="002f6255"/>
    <w:pPr>
      <w:numPr>
        <w:ilvl w:val="0"/>
        <w:numId w:val="1"/>
      </w:numPr>
      <w:overflowPunct w:val="true"/>
      <w:spacing w:beforeAutospacing="1" w:afterAutospacing="1"/>
      <w:textAlignment w:val="auto"/>
      <w:outlineLvl w:val="0"/>
    </w:pPr>
    <w:rPr>
      <w:rFonts w:ascii="Arial" w:hAnsi="Arial" w:cs="Arial"/>
      <w:b/>
      <w:bCs/>
      <w:kern w:val="2"/>
      <w:sz w:val="20"/>
    </w:rPr>
  </w:style>
  <w:style w:type="paragraph" w:styleId="Heading2">
    <w:name w:val="Heading 2"/>
    <w:basedOn w:val="Normal"/>
    <w:next w:val="Normal"/>
    <w:qFormat/>
    <w:rsid w:val="002f6255"/>
    <w:pPr>
      <w:numPr>
        <w:ilvl w:val="1"/>
        <w:numId w:val="1"/>
      </w:numPr>
      <w:overflowPunct w:val="true"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Funotenzeichen">
    <w:name w:val="Fußnotenzeichen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KopfzeileZchn" w:customStyle="1">
    <w:name w:val="Kopfzeile Zchn"/>
    <w:basedOn w:val="DefaultParagraphFont"/>
    <w:uiPriority w:val="99"/>
    <w:qFormat/>
    <w:rsid w:val="00352b35"/>
    <w:rPr>
      <w:sz w:val="24"/>
      <w:lang w:eastAsia="de-DE"/>
    </w:rPr>
  </w:style>
  <w:style w:type="character" w:styleId="berschrift1Zchn" w:customStyle="1">
    <w:name w:val="Überschrift 1 Zchn"/>
    <w:basedOn w:val="DefaultParagraphFont"/>
    <w:qFormat/>
    <w:rsid w:val="002f6255"/>
    <w:rPr>
      <w:rFonts w:ascii="Arial" w:hAnsi="Arial" w:cs="Arial"/>
      <w:b/>
      <w:bCs/>
      <w:kern w:val="2"/>
      <w:lang w:eastAsia="de-DE"/>
    </w:rPr>
  </w:style>
  <w:style w:type="character" w:styleId="berschrift2Zchn" w:customStyle="1">
    <w:name w:val="Überschrift 2 Zchn"/>
    <w:basedOn w:val="DefaultParagraphFont"/>
    <w:qFormat/>
    <w:rsid w:val="002f6255"/>
    <w:rPr>
      <w:rFonts w:ascii="Arial" w:hAnsi="Arial" w:cs="Arial"/>
      <w:b/>
      <w:bCs/>
      <w:iCs/>
      <w:lang w:eastAsia="de-DE"/>
    </w:rPr>
  </w:style>
  <w:style w:type="character" w:styleId="FuzeileZchn" w:customStyle="1">
    <w:name w:val="Fußzeile Zchn"/>
    <w:basedOn w:val="DefaultParagraphFont"/>
    <w:qFormat/>
    <w:rsid w:val="002f6255"/>
    <w:rPr>
      <w:sz w:val="24"/>
      <w:lang w:eastAsia="de-DE"/>
    </w:rPr>
  </w:style>
  <w:style w:type="character" w:styleId="TitelZchn" w:customStyle="1">
    <w:name w:val="Titel Zchn"/>
    <w:basedOn w:val="DefaultParagraphFont"/>
    <w:qFormat/>
    <w:rsid w:val="002f6255"/>
    <w:rPr>
      <w:rFonts w:ascii="Arial" w:hAnsi="Arial" w:cs="Arial"/>
      <w:b/>
      <w:bCs/>
      <w:sz w:val="28"/>
      <w:szCs w:val="28"/>
      <w:lang w:eastAsia="de-DE"/>
    </w:rPr>
  </w:style>
  <w:style w:type="character" w:styleId="PageNumber">
    <w:name w:val="Page Number"/>
    <w:basedOn w:val="DefaultParagraphFont"/>
    <w:qFormat/>
    <w:rsid w:val="002f6255"/>
    <w:rPr/>
  </w:style>
  <w:style w:type="character" w:styleId="FunotentextZchn" w:customStyle="1">
    <w:name w:val="Fußnotentext Zchn"/>
    <w:basedOn w:val="DefaultParagraphFont"/>
    <w:semiHidden/>
    <w:qFormat/>
    <w:rsid w:val="002f6255"/>
    <w:rPr>
      <w:lang w:eastAsia="de-DE"/>
    </w:rPr>
  </w:style>
  <w:style w:type="character" w:styleId="annotationreference">
    <w:name w:val="annotation reference"/>
    <w:basedOn w:val="DefaultParagraphFont"/>
    <w:qFormat/>
    <w:rsid w:val="008d175e"/>
    <w:rPr>
      <w:sz w:val="16"/>
      <w:szCs w:val="16"/>
    </w:rPr>
  </w:style>
  <w:style w:type="character" w:styleId="KommentartextZchn" w:customStyle="1">
    <w:name w:val="Kommentartext Zchn"/>
    <w:basedOn w:val="DefaultParagraphFont"/>
    <w:qFormat/>
    <w:rsid w:val="008d175e"/>
    <w:rPr>
      <w:lang w:eastAsia="de-DE"/>
    </w:rPr>
  </w:style>
  <w:style w:type="character" w:styleId="KommentarthemaZchn" w:customStyle="1">
    <w:name w:val="Kommentarthema Zchn"/>
    <w:basedOn w:val="KommentartextZchn"/>
    <w:qFormat/>
    <w:rsid w:val="008d175e"/>
    <w:rPr>
      <w:b/>
      <w:bCs/>
      <w:lang w:eastAsia="de-DE"/>
    </w:rPr>
  </w:style>
  <w:style w:type="character" w:styleId="Endnotenzeichen">
    <w:name w:val="Endnotenzeichen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berschrift">
    <w:name w:val="Überschrift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Verzeichnis">
    <w:name w:val="Verzeichnis"/>
    <w:basedOn w:val="Normal"/>
    <w:qFormat/>
    <w:pPr>
      <w:suppressLineNumbers/>
    </w:pPr>
    <w:rPr>
      <w:rFonts w:cs="Lohit Devanagari"/>
    </w:rPr>
  </w:style>
  <w:style w:type="paragraph" w:styleId="FootnoteText">
    <w:name w:val="Footnote Text"/>
    <w:basedOn w:val="Normal"/>
    <w:link w:val="FunotentextZchn"/>
    <w:semiHidden/>
    <w:pPr/>
    <w:rPr>
      <w:sz w:val="20"/>
    </w:rPr>
  </w:style>
  <w:style w:type="paragraph" w:styleId="Kopf-undFuzeile">
    <w:name w:val="Kopf- und Fußzeile"/>
    <w:basedOn w:val="Normal"/>
    <w:qFormat/>
    <w:pPr/>
    <w:rPr/>
  </w:style>
  <w:style w:type="paragraph" w:styleId="Kopf-Fuzeile">
    <w:name w:val="Kopf-/Fußzeile"/>
    <w:basedOn w:val="Normal"/>
    <w:qFormat/>
    <w:pPr/>
    <w:rPr/>
  </w:style>
  <w:style w:type="paragraph" w:styleId="Header">
    <w:name w:val="Header"/>
    <w:basedOn w:val="Normal"/>
    <w:link w:val="KopfzeileZchn"/>
    <w:uiPriority w:val="99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FuzeileZchn"/>
    <w:pPr>
      <w:tabs>
        <w:tab w:val="clear" w:pos="709"/>
        <w:tab w:val="center" w:pos="4536" w:leader="none"/>
        <w:tab w:val="right" w:pos="9072" w:leader="none"/>
      </w:tabs>
    </w:pPr>
    <w:rPr/>
  </w:style>
  <w:style w:type="paragraph" w:styleId="BalloonText">
    <w:name w:val="Balloon Text"/>
    <w:basedOn w:val="Normal"/>
    <w:semiHidden/>
    <w:qFormat/>
    <w:rsid w:val="0002495d"/>
    <w:pPr/>
    <w:rPr>
      <w:rFonts w:ascii="Tahoma" w:hAnsi="Tahoma" w:cs="Tahoma"/>
      <w:sz w:val="16"/>
      <w:szCs w:val="16"/>
    </w:rPr>
  </w:style>
  <w:style w:type="paragraph" w:styleId="Title">
    <w:name w:val="Title"/>
    <w:basedOn w:val="Normal"/>
    <w:link w:val="TitelZchn"/>
    <w:qFormat/>
    <w:rsid w:val="002f6255"/>
    <w:pPr>
      <w:overflowPunct w:val="true"/>
      <w:spacing w:before="0"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paragraph" w:styleId="Block" w:customStyle="1">
    <w:name w:val="Block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Buchstabe1" w:customStyle="1">
    <w:name w:val="Buchstabe1"/>
    <w:basedOn w:val="Normal"/>
    <w:qFormat/>
    <w:rsid w:val="002f6255"/>
    <w:pPr>
      <w:overflowPunct w:val="true"/>
      <w:textAlignment w:val="auto"/>
    </w:pPr>
    <w:rPr>
      <w:rFonts w:ascii="Arial" w:hAnsi="Arial"/>
      <w:sz w:val="20"/>
    </w:rPr>
  </w:style>
  <w:style w:type="paragraph" w:styleId="AnnotationText">
    <w:name w:val="Annotation Text"/>
    <w:basedOn w:val="Normal"/>
    <w:link w:val="KommentartextZchn"/>
    <w:qFormat/>
    <w:rsid w:val="008d175e"/>
    <w:pPr/>
    <w:rPr>
      <w:sz w:val="20"/>
    </w:rPr>
  </w:style>
  <w:style w:type="paragraph" w:styleId="annotationsubject">
    <w:name w:val="annotation subject"/>
    <w:basedOn w:val="AnnotationText"/>
    <w:next w:val="AnnotationText"/>
    <w:link w:val="KommentarthemaZchn"/>
    <w:qFormat/>
    <w:rsid w:val="008d175e"/>
    <w:pPr/>
    <w:rPr>
      <w:b/>
      <w:bCs/>
    </w:rPr>
  </w:style>
  <w:style w:type="paragraph" w:styleId="ListParagraph">
    <w:name w:val="List Paragraph"/>
    <w:basedOn w:val="Normal"/>
    <w:uiPriority w:val="34"/>
    <w:qFormat/>
    <w:rsid w:val="008d175e"/>
    <w:pPr>
      <w:spacing w:before="0" w:after="0"/>
      <w:ind w:hanging="0" w:left="720"/>
      <w:contextualSpacing/>
    </w:pPr>
    <w:rPr/>
  </w:style>
  <w:style w:type="paragraph" w:styleId="Tabelleninhalt">
    <w:name w:val="Tabelleninhalt"/>
    <w:basedOn w:val="Normal"/>
    <w:qFormat/>
    <w:pPr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KeineListe" w:default="1">
    <w:name w:val="Keine Liste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otnotes" Target="footnotes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Larissa">
  <a:themeElements>
    <a:clrScheme name="Larissa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D678C-FA4B-4A13-AEAF-CA240F8A0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</TotalTime>
  <Application>LibreOffice/24.2.7.2$Linux_X86_64 LibreOffice_project/420$Build-2</Application>
  <AppVersion>15.0000</AppVersion>
  <Pages>2</Pages>
  <Words>319</Words>
  <Characters>2228</Characters>
  <CharactersWithSpaces>2995</CharactersWithSpaces>
  <Paragraphs>176</Paragraphs>
  <Company>.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2018-06-11T09:10:00Z</dcterms:created>
  <dc:creator>MaaseBet</dc:creator>
  <dc:description/>
  <dc:language>de-DE</dc:language>
  <cp:lastModifiedBy/>
  <cp:lastPrinted>2018-04-03T10:47:00Z</cp:lastPrinted>
  <dcterms:modified xsi:type="dcterms:W3CDTF">2026-05-10T20:19:53Z</dcterms:modified>
  <cp:revision>32</cp:revision>
  <dc:subject>VV-Bau, Teil II, Anlage 48</dc:subject>
  <dc:title>Aufgliederung wichtiger Einheitspreise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